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163</w:t>
      </w:r>
    </w:p>
    <w:p>
      <w:r>
        <w:t>Bundesgericht (BGE), 1984-04-03, FR</w:t>
      </w:r>
    </w:p>
    <w:p>
      <w:r>
        <w:rPr>
          <w:b/>
        </w:rPr>
        <w:t xml:space="preserve">Quelle: </w:t>
      </w:r>
      <w:r>
        <w:t>https://mcp.opencaselaw.ch/entscheid/bge_110 II 163</w:t>
      </w:r>
    </w:p>
    <w:p>
      <w:r>
        <w:t>FR: ATF 110 II 163</w:t>
      </w:r>
    </w:p>
    <w:p>
      <w:r>
        <w:t>IT: DTF 110 II 163</w:t>
      </w:r>
    </w:p>
    <w:p>
      <w:pPr>
        <w:pStyle w:val="Heading2"/>
      </w:pPr>
      <w:r>
        <w:t>Regeste</w:t>
      </w:r>
    </w:p>
    <w:p>
      <w:r>
        <w:t>Regeste Haftung des Arbeitgebers, Genugtuung. Haftung des Arbeitgebers, der eine Sicherheitsmassnahme unterlassen hat (Art. 328 Abs. 2 OR; E. 2a). Anspruch auf Genugtuung wegen eines Unfalls, der zum vollständigen Verlust des Gehörs auf einer Seite führt (E. 2c).</w:t>
      </w:r>
    </w:p>
    <w:p>
      <w:pPr>
        <w:pStyle w:val="Heading2"/>
      </w:pPr>
      <w:r>
        <w:t>Erwägungen</w:t>
      </w:r>
    </w:p>
    <w:p>
      <w:r>
        <w:rPr>
          <w:b/>
        </w:rPr>
        <w:t>E. 1</w:t>
      </w:r>
    </w:p>
    <w:p>
      <w:r>
        <w:t>(Selon la jurisprudence ( ATF 104 II 259 ), la responsabilité de l'employeur pour le dommage consécutif à un accident professionnel suppose une faute grave de l'employeur lui-même ou, s'il s'agit d'une personne morale, d'un organe au sens de l' art. 55 CC ; l'employeur ne répond pas de la faute d'un auxiliaire selon les art. 55 et 101 CO ; art. 129 al. 2 LAMA , 44 LAA.)</w:t>
      </w:r>
    </w:p>
    <w:p>
      <w:r>
        <w:rPr>
          <w:b/>
        </w:rPr>
        <w:t>E. 2</w:t>
      </w:r>
    </w:p>
    <w:p>
      <w:r>
        <w:t>L' art. 129 LAMA ne restreint pas la responsabilité de l'employeur quant au paiement d'une indemnité à titre de réparation morale ( ATF 104 II 263 consid. 5, ATF 88 II 526 , ATF 86 I 256 , ATF 81 II 553 s. consid. 4, ATF 72 II 314 s. consid. 2, 432 s. consid. 7). Selon l' art. 47 CO , le juge peut, en tenant compte de circonstances particulières, allouer à la victime de lésions corporelles une indemnité équitable à titre de réparation morale. La règle s'applique également en matière contractuelle ( art. 99 al. 3 CO ), en cas de violation par l'employeur de son obligation de veiller à la santé et à l'intégrité corporelle du travailleur ( art. 328 CO ; cf. ATF 106 II 134 ss). Il n'est pas nécessaire d'examiner si l'employeur répond aussi en qualité de propriétaire d'ouvrage au sens de l' art. 58 CO , car l'étendue de sa diligence est pratiquement la même, quel que soit le fondement de sa responsabilité ( ATF 90 II 229 ). BGE 110 II 163 S. 165 a) L' art. 328 al. 2 CO impose à l'employeur de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Il lui appartient en particulier d'instruire les travailleurs de manière adéquate et de pourvoir les machines et installations dont ils se servent de dispositifs de sécurité suffisants pour empêcher la réalisation de risques avec lesquels on peut compter ( ATF 102 II 19 , ATF 100 II 354 , ATF 95 II 137 ss), même si le degré de probabilité n'en est pas considérable ( ATF 95 II 141 ). Or le Tribunal cantonal admet avec raison, sans que cela soit contesté par la défenderesse, que l'installation de celle-ci comportait un danger dont elle n'a pas suffisamment protégé les travailleurs. Comme le constate le jugement attaqué, le chef d'équipe avait observé à bien des reprises que le tuyau transmettant l'air comprimé se détachait et qu'il pouvait alors être dangereux lorsqu'il restait accroché au crochet porte-outils; or il a omis de remédier à ce défaut ou de le signaler au service de sécurité de l'entreprise qui aurait pu faire le nécessaire. Ainsi que la cour cantonale le relève, il était possible d'obvier à cet inconvénient à peu de frais. L' art. 328 al. 2 CO n'a donc pas été respecté. L'employeur en est responsable ( art. 101 et 55 CO ). b) Le jugement attaqué ne contient aucun fait permettant de retenir une faute concurrente à la charge du travailleur. Il n'est en particulier pas établi qu'il aurait pu voir "gigoter" le tuyau, avant que celui-ci ne vienne le frapper à la tête. Par ailleurs, il portait un casque, certainement selon les instructions de service. Enfin, on ne saurait guère lui reprocher de n'avoir pas avisé précédemment le service de sécurité du risque que pouvait comporter, pour les travailleurs, un débranchement du tuyau. c) La cour cantonale a rejeté la demande de réparation morale par le motif qu'aucune faute ne peut être imputée à l'employeur personnellement et que la lésion subie "n'est pas très importante"; elle ajoute que le demandeur n'a pas subi d'hospitalisation ou de long traitement, que sa surdité unilatérale ne le gêne pas dans son travail d'agriculteur et qu'elle ne saurait guère le priver de certains plaisirs de la vie. Selon la jurisprudence, l'application de l' art. 47 CO n'exige pas de faute personnelle du responsable ( ATF 104 II 263 s. consid. 5). BGE 110 II 163 S. 166 Le rapport des fautes est cependant un élément qui peut être déterminant pour l'octroi ou le refus d'une réparation morale. En l'espèce, l'employeur doit répondre d'une faute de son auxiliaire, qui n'est pas vénielle, alors que le travailleur n'en a commis aucune. Pour autant que le préjudice soit assez grave, le principe d'une réparation correspond donc à l'équité. L'octroi d'une réparation morale pour lésions corporelles exige également que celles-ci aient une certaine importance (cf. ATF 89 II 400 ). Or il faut tenir pour importantes des atteintes qui privent la victime d'un organe ou rendent celui-ci impropre à sa fonction (cf. art. 122 ch. 1 al. 2 CP ; OFTINGER, Schweizerisches Haftpflichtrectht, p. 300). Le Tribunal fédéral en a fréquemment jugé ainsi à propos d'atteintes à la vue (cf. par ex. ATF 104 II 190 , ATF 102 II 21 , ATF 89 II 26 , ATF 81 II 170 ). Il a aussi confirmé un jugement cantonal allouant une indemnité de 8'000 francs à la victime, responsable d'une faute concurrente, qui avait subi une fracture du crâne avec commotion cérébrale, 40 jours d'hospitalisation et la perte totale de l'ouïe à droite; il releva à cette occasion l'importance d'une telle infirmité dans la vie sociale et pour la victime du point de vue psychologique, compte tenu aussi d'une atteinte possible à l'autre oreille, dans l'avenir (Rep. 1971 p. 226, résumé au JdT 1973 I 471; cf. aussi arrêt non publié du 29 janvier 1980, cité par HÜTTE, Die Genugtuung, feuille III 48). On retrouve la même conception en jurisprudence cantonale (cf. HÜTTE, op.cit., feuille III 22, relatant un arrêt du Tribunal cantonal vaudois du 10 avril 1970; OFTINGER, op.cit., I p. 300, citant Rep. 1960 p. 291) et en doctrine (HÜTTE, op.cit., p. I/24, suivant la classification proposée par un auteur allemand, range la perte d'une oreille ou la perte complète de l'ouïe d'un côté parmi les lésions corporelles graves, soit dans le groupe 4 d'une division en 6 catégories, dans le sens croissant de gravité). La perte complète de l'ouïe, d'un côté, est de nature à diminuer notablement la perception par la victime du monde extérieur, ce qui peut être sensible dans de nombreuses activités de la vie professionnelle et de la vie courante; elle est aussi propre à restreindre l'agrément de la vie. Elle accroît le risque d'une surdité totale; de ce fait la victime est aussi exposée à ressentir davantage les effets d'une baisse de l'ouïe de l'autre côté, notamment en raison de l'âge. En 1976, le Tribunal fédéral a confirmé un jugement cantonal accordant en principe 8'000 francs de réparation morale pour la perte d'un oeil ( ATF 102 II 21 s.). Si la perte de BGE 110 II 163 S. 167 l'ouïe d'un seul côté sera d'ordinaire moins pénible pour la victime que la perte d'un oeil, qualitativement, la perte est comparable et justifie l'octroi d'une réparation. Au cas particulier, la perte de l'ouïe est totale du côté gauche; de toute évidence, la lésion est irréversible et le demandeur, âgé de 34 ans lors de l'accident, devra s'accommoder de cette infirmité sa vie durant. L'importance de l'atteinte est en outre montrée par son incidence sur l'invalidité, fixée par la CNA à 12%. Compte tenu de l'importance de l'ouïe dans la vie d'un homme, ainsi que de l'évolution de la jurisprudence quant aux montants alloués (cf. ATF 108 II 434 , ATF 107 II 349 ), il y a lieu d'accorder au demandeur une indemnité de 5'000 francs à titre de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